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3873B" w14:textId="0FED5CE3" w:rsidR="00774B9C" w:rsidRDefault="00774B9C" w:rsidP="00A43958">
      <w:pPr>
        <w:rPr>
          <w:rFonts w:ascii="Verdana" w:hAnsi="Verdana"/>
          <w:sz w:val="22"/>
        </w:rPr>
      </w:pPr>
    </w:p>
    <w:p w14:paraId="0E167D4F" w14:textId="77777777" w:rsidR="0079246E" w:rsidRPr="0079246E" w:rsidRDefault="0079246E" w:rsidP="0079246E">
      <w:pPr>
        <w:rPr>
          <w:rFonts w:ascii="Verdana" w:hAnsi="Verdana"/>
          <w:b/>
          <w:bCs/>
          <w:sz w:val="22"/>
        </w:rPr>
      </w:pPr>
      <w:r w:rsidRPr="0079246E">
        <w:rPr>
          <w:rFonts w:ascii="Verdana" w:hAnsi="Verdana"/>
          <w:b/>
          <w:bCs/>
          <w:sz w:val="22"/>
        </w:rPr>
        <w:t>Kadın Hakları ve Cinsiyet Eşitliği Politikası</w:t>
      </w:r>
    </w:p>
    <w:p w14:paraId="6DF2A7E8" w14:textId="77777777" w:rsidR="0079246E" w:rsidRDefault="0079246E" w:rsidP="0079246E">
      <w:pPr>
        <w:rPr>
          <w:rFonts w:ascii="Verdana" w:hAnsi="Verdana"/>
          <w:sz w:val="22"/>
        </w:rPr>
      </w:pPr>
    </w:p>
    <w:p w14:paraId="0FD20097" w14:textId="6EB9EE2A" w:rsidR="0079246E" w:rsidRPr="0079246E" w:rsidRDefault="0079246E" w:rsidP="0079246E">
      <w:pPr>
        <w:jc w:val="both"/>
        <w:rPr>
          <w:rFonts w:ascii="Verdana" w:hAnsi="Verdana"/>
          <w:b/>
          <w:bCs/>
          <w:sz w:val="22"/>
        </w:rPr>
      </w:pPr>
      <w:r w:rsidRPr="0079246E">
        <w:rPr>
          <w:rFonts w:ascii="Verdana" w:hAnsi="Verdana"/>
          <w:b/>
          <w:bCs/>
          <w:sz w:val="22"/>
        </w:rPr>
        <w:t>1. Amaç</w:t>
      </w:r>
    </w:p>
    <w:p w14:paraId="066D5FE0" w14:textId="77777777" w:rsidR="0079246E" w:rsidRPr="0079246E" w:rsidRDefault="0079246E" w:rsidP="0079246E">
      <w:pPr>
        <w:jc w:val="both"/>
        <w:rPr>
          <w:rFonts w:ascii="Verdana" w:hAnsi="Verdana"/>
          <w:sz w:val="22"/>
        </w:rPr>
      </w:pPr>
      <w:r w:rsidRPr="0079246E">
        <w:rPr>
          <w:rFonts w:ascii="Verdana" w:hAnsi="Verdana"/>
          <w:sz w:val="22"/>
        </w:rPr>
        <w:t>Bu politika, otelimizin tüm çalışanları ve misafirleri için kadın haklarını koruma, cinsiyet eşitliğini teşvik etme ve destekleme amacını taşır. Cinsiyet ayrımcılığına karşı sıfır tolerans göstererek, tüm bireylerin eşit fırsatlara sahip olmasını sağlamak hedeflenmektedir.</w:t>
      </w:r>
    </w:p>
    <w:p w14:paraId="2D03BEA3" w14:textId="77777777" w:rsidR="0079246E" w:rsidRPr="0079246E" w:rsidRDefault="0079246E" w:rsidP="0079246E">
      <w:pPr>
        <w:jc w:val="both"/>
        <w:rPr>
          <w:rFonts w:ascii="Verdana" w:hAnsi="Verdana"/>
          <w:sz w:val="22"/>
        </w:rPr>
      </w:pPr>
    </w:p>
    <w:p w14:paraId="03B537C7" w14:textId="77777777" w:rsidR="0079246E" w:rsidRPr="0079246E" w:rsidRDefault="0079246E" w:rsidP="0079246E">
      <w:pPr>
        <w:jc w:val="both"/>
        <w:rPr>
          <w:rFonts w:ascii="Verdana" w:hAnsi="Verdana"/>
          <w:b/>
          <w:bCs/>
          <w:sz w:val="22"/>
        </w:rPr>
      </w:pPr>
      <w:r w:rsidRPr="0079246E">
        <w:rPr>
          <w:rFonts w:ascii="Verdana" w:hAnsi="Verdana"/>
          <w:b/>
          <w:bCs/>
          <w:sz w:val="22"/>
        </w:rPr>
        <w:t>2. Kapsam</w:t>
      </w:r>
    </w:p>
    <w:p w14:paraId="5A29887C" w14:textId="77777777" w:rsidR="0079246E" w:rsidRPr="0079246E" w:rsidRDefault="0079246E" w:rsidP="0079246E">
      <w:pPr>
        <w:jc w:val="both"/>
        <w:rPr>
          <w:rFonts w:ascii="Verdana" w:hAnsi="Verdana"/>
          <w:sz w:val="22"/>
        </w:rPr>
      </w:pPr>
      <w:r w:rsidRPr="0079246E">
        <w:rPr>
          <w:rFonts w:ascii="Verdana" w:hAnsi="Verdana"/>
          <w:sz w:val="22"/>
        </w:rPr>
        <w:t>Bu politika, otelimizde çalışan tüm personel, iş ortaklarımız, tedarikçilerimiz ve misafirlerimiz için geçerlidir. Yönetim kademesinden giriş seviyesindeki çalışanlara kadar herkesin bu politikaya uyması beklenir.</w:t>
      </w:r>
    </w:p>
    <w:p w14:paraId="0665E9EC" w14:textId="77777777" w:rsidR="0079246E" w:rsidRPr="0079246E" w:rsidRDefault="0079246E" w:rsidP="0079246E">
      <w:pPr>
        <w:jc w:val="both"/>
        <w:rPr>
          <w:rFonts w:ascii="Verdana" w:hAnsi="Verdana"/>
          <w:sz w:val="22"/>
        </w:rPr>
      </w:pPr>
    </w:p>
    <w:p w14:paraId="0ECBB34B" w14:textId="77777777" w:rsidR="0079246E" w:rsidRPr="0079246E" w:rsidRDefault="0079246E" w:rsidP="0079246E">
      <w:pPr>
        <w:jc w:val="both"/>
        <w:rPr>
          <w:rFonts w:ascii="Verdana" w:hAnsi="Verdana"/>
          <w:b/>
          <w:bCs/>
          <w:sz w:val="22"/>
        </w:rPr>
      </w:pPr>
      <w:r w:rsidRPr="0079246E">
        <w:rPr>
          <w:rFonts w:ascii="Verdana" w:hAnsi="Verdana"/>
          <w:b/>
          <w:bCs/>
          <w:sz w:val="22"/>
        </w:rPr>
        <w:t>3. Kadın Haklarına ve Cinsiyet Eşitliğine Yönelik Taahhütler</w:t>
      </w:r>
    </w:p>
    <w:p w14:paraId="37A9EC55" w14:textId="77777777" w:rsidR="0079246E" w:rsidRPr="0079246E" w:rsidRDefault="0079246E" w:rsidP="0079246E">
      <w:pPr>
        <w:jc w:val="both"/>
        <w:rPr>
          <w:rFonts w:ascii="Verdana" w:hAnsi="Verdana"/>
          <w:sz w:val="22"/>
        </w:rPr>
      </w:pPr>
      <w:r w:rsidRPr="0079246E">
        <w:rPr>
          <w:rFonts w:ascii="Verdana" w:hAnsi="Verdana"/>
          <w:sz w:val="22"/>
        </w:rPr>
        <w:t>Cinsiyet Ayrımcılığına Karşı Sıfır Tolerans: Otelimiz, çalışanlarına veya misafirlerine yönelik herhangi bir cinsiyet ayrımcılığına karşı sıfır tolerans politikası uygular. Cinsiyet, cinsel kimlik, cinsel yönelim gibi nedenlerle ayrımcılık yapılmasına izin verilmez.</w:t>
      </w:r>
    </w:p>
    <w:p w14:paraId="0CDC598A" w14:textId="77777777" w:rsidR="0079246E" w:rsidRPr="0079246E" w:rsidRDefault="0079246E" w:rsidP="0079246E">
      <w:pPr>
        <w:jc w:val="both"/>
        <w:rPr>
          <w:rFonts w:ascii="Verdana" w:hAnsi="Verdana"/>
          <w:sz w:val="22"/>
        </w:rPr>
      </w:pPr>
    </w:p>
    <w:p w14:paraId="7C63C2BE" w14:textId="77777777" w:rsidR="0079246E" w:rsidRPr="0079246E" w:rsidRDefault="0079246E" w:rsidP="0079246E">
      <w:pPr>
        <w:jc w:val="both"/>
        <w:rPr>
          <w:rFonts w:ascii="Verdana" w:hAnsi="Verdana"/>
          <w:sz w:val="22"/>
        </w:rPr>
      </w:pPr>
      <w:r w:rsidRPr="0079246E">
        <w:rPr>
          <w:rFonts w:ascii="Verdana" w:hAnsi="Verdana"/>
          <w:b/>
          <w:bCs/>
          <w:sz w:val="22"/>
        </w:rPr>
        <w:t>Eşit Fırsat Politikası:</w:t>
      </w:r>
      <w:r w:rsidRPr="0079246E">
        <w:rPr>
          <w:rFonts w:ascii="Verdana" w:hAnsi="Verdana"/>
          <w:sz w:val="22"/>
        </w:rPr>
        <w:t xml:space="preserve"> Otelimiz, işe alım, terfi, ücretlendirme, eğitim ve diğer iş olanaklarında cinsiyet ayrımı gözetmeksizin eşit fırsatlar sunar. Tüm çalışanlar, yetenekleri, performansları ve deneyimleri doğrultusunda değerlendirilir.</w:t>
      </w:r>
    </w:p>
    <w:p w14:paraId="1A32FB65" w14:textId="77777777" w:rsidR="0079246E" w:rsidRPr="0079246E" w:rsidRDefault="0079246E" w:rsidP="0079246E">
      <w:pPr>
        <w:jc w:val="both"/>
        <w:rPr>
          <w:rFonts w:ascii="Verdana" w:hAnsi="Verdana"/>
          <w:sz w:val="22"/>
        </w:rPr>
      </w:pPr>
    </w:p>
    <w:p w14:paraId="30E31BA6" w14:textId="77777777" w:rsidR="0079246E" w:rsidRPr="0079246E" w:rsidRDefault="0079246E" w:rsidP="0079246E">
      <w:pPr>
        <w:jc w:val="both"/>
        <w:rPr>
          <w:rFonts w:ascii="Verdana" w:hAnsi="Verdana"/>
          <w:sz w:val="22"/>
        </w:rPr>
      </w:pPr>
      <w:r w:rsidRPr="0079246E">
        <w:rPr>
          <w:rFonts w:ascii="Verdana" w:hAnsi="Verdana"/>
          <w:b/>
          <w:bCs/>
          <w:sz w:val="22"/>
        </w:rPr>
        <w:t>Kadınların Güçlendirilmesi:</w:t>
      </w:r>
      <w:r w:rsidRPr="0079246E">
        <w:rPr>
          <w:rFonts w:ascii="Verdana" w:hAnsi="Verdana"/>
          <w:sz w:val="22"/>
        </w:rPr>
        <w:t xml:space="preserve"> Kadın çalışanlarımızın kariyerlerinde ilerlemelerini teşvik etmek amacıyla liderlik ve gelişim programları sunarız. Kadınların yönetim ve liderlik pozisyonlarında daha fazla yer alması hedeflenir.</w:t>
      </w:r>
    </w:p>
    <w:p w14:paraId="13A86D80" w14:textId="77777777" w:rsidR="0079246E" w:rsidRPr="0079246E" w:rsidRDefault="0079246E" w:rsidP="0079246E">
      <w:pPr>
        <w:jc w:val="both"/>
        <w:rPr>
          <w:rFonts w:ascii="Verdana" w:hAnsi="Verdana"/>
          <w:sz w:val="22"/>
        </w:rPr>
      </w:pPr>
    </w:p>
    <w:p w14:paraId="3F7D71D6" w14:textId="77777777" w:rsidR="0079246E" w:rsidRPr="0079246E" w:rsidRDefault="0079246E" w:rsidP="0079246E">
      <w:pPr>
        <w:jc w:val="both"/>
        <w:rPr>
          <w:rFonts w:ascii="Verdana" w:hAnsi="Verdana"/>
          <w:sz w:val="22"/>
        </w:rPr>
      </w:pPr>
      <w:r w:rsidRPr="0079246E">
        <w:rPr>
          <w:rFonts w:ascii="Verdana" w:hAnsi="Verdana"/>
          <w:b/>
          <w:bCs/>
          <w:sz w:val="22"/>
        </w:rPr>
        <w:t>Çalışan Haklarının Korunması:</w:t>
      </w:r>
      <w:r w:rsidRPr="0079246E">
        <w:rPr>
          <w:rFonts w:ascii="Verdana" w:hAnsi="Verdana"/>
          <w:sz w:val="22"/>
        </w:rPr>
        <w:t xml:space="preserve"> Tüm çalışanların insan haklarına saygı gösterilir ve hakları korunur. Kadın çalışanlarımızın çalışma koşullarının adil, güvenli ve sağlıklı olmasını sağlamak için gerekli önlemler alınır.</w:t>
      </w:r>
    </w:p>
    <w:p w14:paraId="4A84EA45" w14:textId="77777777" w:rsidR="0079246E" w:rsidRPr="0079246E" w:rsidRDefault="0079246E" w:rsidP="0079246E">
      <w:pPr>
        <w:jc w:val="both"/>
        <w:rPr>
          <w:rFonts w:ascii="Verdana" w:hAnsi="Verdana"/>
          <w:sz w:val="22"/>
        </w:rPr>
      </w:pPr>
    </w:p>
    <w:p w14:paraId="681C3680" w14:textId="77777777" w:rsidR="0079246E" w:rsidRPr="0079246E" w:rsidRDefault="0079246E" w:rsidP="0079246E">
      <w:pPr>
        <w:jc w:val="both"/>
        <w:rPr>
          <w:rFonts w:ascii="Verdana" w:hAnsi="Verdana"/>
          <w:b/>
          <w:bCs/>
          <w:sz w:val="22"/>
        </w:rPr>
      </w:pPr>
      <w:r w:rsidRPr="0079246E">
        <w:rPr>
          <w:rFonts w:ascii="Verdana" w:hAnsi="Verdana"/>
          <w:b/>
          <w:bCs/>
          <w:sz w:val="22"/>
        </w:rPr>
        <w:t>4. Uygulamalar ve Destekleyici Önlemler</w:t>
      </w:r>
    </w:p>
    <w:p w14:paraId="1D63B9BF" w14:textId="77777777" w:rsidR="0079246E" w:rsidRPr="0079246E" w:rsidRDefault="0079246E" w:rsidP="0079246E">
      <w:pPr>
        <w:jc w:val="both"/>
        <w:rPr>
          <w:rFonts w:ascii="Verdana" w:hAnsi="Verdana"/>
          <w:sz w:val="22"/>
        </w:rPr>
      </w:pPr>
      <w:r w:rsidRPr="0079246E">
        <w:rPr>
          <w:rFonts w:ascii="Verdana" w:hAnsi="Verdana"/>
          <w:b/>
          <w:bCs/>
          <w:sz w:val="22"/>
        </w:rPr>
        <w:t>Farkındalık Eğitimleri:</w:t>
      </w:r>
      <w:r w:rsidRPr="0079246E">
        <w:rPr>
          <w:rFonts w:ascii="Verdana" w:hAnsi="Verdana"/>
          <w:sz w:val="22"/>
        </w:rPr>
        <w:t xml:space="preserve"> Tüm çalışanlarımıza düzenli olarak cinsiyet eşitliği, kadın hakları, ayrımcılık ve taciz konularında eğitimler verilir. Bu eğitimler, farkındalığı artırmayı ve pozitif bir çalışma ortamı yaratmayı amaçlar.</w:t>
      </w:r>
    </w:p>
    <w:p w14:paraId="15D9A7C9" w14:textId="77777777" w:rsidR="0079246E" w:rsidRPr="0079246E" w:rsidRDefault="0079246E" w:rsidP="0079246E">
      <w:pPr>
        <w:jc w:val="both"/>
        <w:rPr>
          <w:rFonts w:ascii="Verdana" w:hAnsi="Verdana"/>
          <w:sz w:val="22"/>
        </w:rPr>
      </w:pPr>
    </w:p>
    <w:p w14:paraId="5A0683DD" w14:textId="77777777" w:rsidR="0079246E" w:rsidRPr="0079246E" w:rsidRDefault="0079246E" w:rsidP="0079246E">
      <w:pPr>
        <w:jc w:val="both"/>
        <w:rPr>
          <w:rFonts w:ascii="Verdana" w:hAnsi="Verdana"/>
          <w:sz w:val="22"/>
        </w:rPr>
      </w:pPr>
      <w:r w:rsidRPr="0079246E">
        <w:rPr>
          <w:rFonts w:ascii="Verdana" w:hAnsi="Verdana"/>
          <w:b/>
          <w:bCs/>
          <w:sz w:val="22"/>
        </w:rPr>
        <w:t>Cinsel Taciz ve Şiddetle Mücadele:</w:t>
      </w:r>
      <w:r w:rsidRPr="0079246E">
        <w:rPr>
          <w:rFonts w:ascii="Verdana" w:hAnsi="Verdana"/>
          <w:sz w:val="22"/>
        </w:rPr>
        <w:t xml:space="preserve"> Cinsel taciz ve şiddet olaylarına karşı net bir duruş sergileriz. Her türlü cinsel taciz, istismar ve şiddet olayına karşı acil müdahale prosedürleri uygulanır. Mağdurlara destek sağlanır ve olayların ciddiyetiyle orantılı disiplin önlemleri alınır.</w:t>
      </w:r>
    </w:p>
    <w:p w14:paraId="46FD97D1" w14:textId="77777777" w:rsidR="0079246E" w:rsidRPr="0079246E" w:rsidRDefault="0079246E" w:rsidP="0079246E">
      <w:pPr>
        <w:jc w:val="both"/>
        <w:rPr>
          <w:rFonts w:ascii="Verdana" w:hAnsi="Verdana"/>
          <w:sz w:val="22"/>
        </w:rPr>
      </w:pPr>
    </w:p>
    <w:p w14:paraId="09B6014C" w14:textId="77777777" w:rsidR="0079246E" w:rsidRPr="0079246E" w:rsidRDefault="0079246E" w:rsidP="0079246E">
      <w:pPr>
        <w:jc w:val="both"/>
        <w:rPr>
          <w:rFonts w:ascii="Verdana" w:hAnsi="Verdana"/>
          <w:sz w:val="22"/>
        </w:rPr>
      </w:pPr>
      <w:r w:rsidRPr="0079246E">
        <w:rPr>
          <w:rFonts w:ascii="Verdana" w:hAnsi="Verdana"/>
          <w:b/>
          <w:bCs/>
          <w:sz w:val="22"/>
        </w:rPr>
        <w:t>Esnek Çalışma Koşulları:</w:t>
      </w:r>
      <w:r w:rsidRPr="0079246E">
        <w:rPr>
          <w:rFonts w:ascii="Verdana" w:hAnsi="Verdana"/>
          <w:sz w:val="22"/>
        </w:rPr>
        <w:t xml:space="preserve"> Kadın çalışanlarımızın iş-yaşam dengelerini koruyabilmeleri için esnek çalışma saatleri, uzaktan çalışma seçenekleri ve doğum izni gibi haklar sağlanır. Hamilelik ve doğum sonrası destek hizmetleri sunulur.</w:t>
      </w:r>
    </w:p>
    <w:p w14:paraId="265C8851" w14:textId="77777777" w:rsidR="0079246E" w:rsidRPr="0079246E" w:rsidRDefault="0079246E" w:rsidP="0079246E">
      <w:pPr>
        <w:jc w:val="both"/>
        <w:rPr>
          <w:rFonts w:ascii="Verdana" w:hAnsi="Verdana"/>
          <w:sz w:val="22"/>
        </w:rPr>
      </w:pPr>
    </w:p>
    <w:p w14:paraId="46E65EBF" w14:textId="77777777" w:rsidR="0079246E" w:rsidRPr="0079246E" w:rsidRDefault="0079246E" w:rsidP="0079246E">
      <w:pPr>
        <w:jc w:val="both"/>
        <w:rPr>
          <w:rFonts w:ascii="Verdana" w:hAnsi="Verdana"/>
          <w:sz w:val="22"/>
        </w:rPr>
      </w:pPr>
      <w:r w:rsidRPr="0079246E">
        <w:rPr>
          <w:rFonts w:ascii="Verdana" w:hAnsi="Verdana"/>
          <w:b/>
          <w:bCs/>
          <w:sz w:val="22"/>
        </w:rPr>
        <w:t>Eşit Ücret İlkesi:</w:t>
      </w:r>
      <w:r w:rsidRPr="0079246E">
        <w:rPr>
          <w:rFonts w:ascii="Verdana" w:hAnsi="Verdana"/>
          <w:sz w:val="22"/>
        </w:rPr>
        <w:t xml:space="preserve"> Aynı pozisyonda çalışan kadın ve erkekler arasında ücret eşitsizliği olmamasını sağlarız. Tüm çalışanlarımızın ücretleri, işlerinin niteliği ve performanslarına göre belirlenir.</w:t>
      </w:r>
    </w:p>
    <w:p w14:paraId="0ECD9EA1" w14:textId="77777777" w:rsidR="0079246E" w:rsidRPr="0079246E" w:rsidRDefault="0079246E" w:rsidP="0079246E">
      <w:pPr>
        <w:jc w:val="both"/>
        <w:rPr>
          <w:rFonts w:ascii="Verdana" w:hAnsi="Verdana"/>
          <w:sz w:val="22"/>
        </w:rPr>
      </w:pPr>
    </w:p>
    <w:p w14:paraId="014B46C8" w14:textId="77777777" w:rsidR="0079246E" w:rsidRPr="0079246E" w:rsidRDefault="0079246E" w:rsidP="0079246E">
      <w:pPr>
        <w:jc w:val="both"/>
        <w:rPr>
          <w:rFonts w:ascii="Verdana" w:hAnsi="Verdana"/>
          <w:b/>
          <w:bCs/>
          <w:sz w:val="22"/>
        </w:rPr>
      </w:pPr>
      <w:r w:rsidRPr="0079246E">
        <w:rPr>
          <w:rFonts w:ascii="Verdana" w:hAnsi="Verdana"/>
          <w:b/>
          <w:bCs/>
          <w:sz w:val="22"/>
        </w:rPr>
        <w:t>5. Şikayet ve Geri Bildirim Mekanizmaları</w:t>
      </w:r>
    </w:p>
    <w:p w14:paraId="3FE7144A" w14:textId="77777777" w:rsidR="0079246E" w:rsidRPr="0079246E" w:rsidRDefault="0079246E" w:rsidP="0079246E">
      <w:pPr>
        <w:jc w:val="both"/>
        <w:rPr>
          <w:rFonts w:ascii="Verdana" w:hAnsi="Verdana"/>
          <w:sz w:val="22"/>
        </w:rPr>
      </w:pPr>
      <w:r w:rsidRPr="0079246E">
        <w:rPr>
          <w:rFonts w:ascii="Verdana" w:hAnsi="Verdana"/>
          <w:sz w:val="22"/>
        </w:rPr>
        <w:t xml:space="preserve">Gizlilik ve Güven: Kadın hakları ve cinsiyet eşitliği ile ilgili şikayet ve geri bildirimlerin gizli </w:t>
      </w:r>
      <w:r w:rsidRPr="0079246E">
        <w:rPr>
          <w:rFonts w:ascii="Verdana" w:hAnsi="Verdana"/>
          <w:sz w:val="22"/>
        </w:rPr>
        <w:lastRenderedPageBreak/>
        <w:t>tutulması esastır. Çalışanlar, herhangi bir ayrımcılık veya cinsiyet temelli sorun yaşadıklarında güvenle bildirimde bulunabilirler.</w:t>
      </w:r>
    </w:p>
    <w:p w14:paraId="1F02261D" w14:textId="77777777" w:rsidR="0079246E" w:rsidRPr="0079246E" w:rsidRDefault="0079246E" w:rsidP="0079246E">
      <w:pPr>
        <w:jc w:val="both"/>
        <w:rPr>
          <w:rFonts w:ascii="Verdana" w:hAnsi="Verdana"/>
          <w:sz w:val="22"/>
        </w:rPr>
      </w:pPr>
    </w:p>
    <w:p w14:paraId="307CF390" w14:textId="77777777" w:rsidR="0079246E" w:rsidRPr="0079246E" w:rsidRDefault="0079246E" w:rsidP="0079246E">
      <w:pPr>
        <w:jc w:val="both"/>
        <w:rPr>
          <w:rFonts w:ascii="Verdana" w:hAnsi="Verdana"/>
          <w:sz w:val="22"/>
        </w:rPr>
      </w:pPr>
      <w:r w:rsidRPr="0079246E">
        <w:rPr>
          <w:rFonts w:ascii="Verdana" w:hAnsi="Verdana"/>
          <w:b/>
          <w:bCs/>
          <w:sz w:val="22"/>
        </w:rPr>
        <w:t>Şikayet Bildirim Prosedürü:</w:t>
      </w:r>
      <w:r w:rsidRPr="0079246E">
        <w:rPr>
          <w:rFonts w:ascii="Verdana" w:hAnsi="Verdana"/>
          <w:sz w:val="22"/>
        </w:rPr>
        <w:t xml:space="preserve"> Şikayetler, insan kaynakları departmanına veya belirlenen kadın hakları temsilcisine iletilebilir. Tüm şikayetler ciddiyetle ele alınır, hızlı ve adil bir şekilde çözülmesi sağlanır.</w:t>
      </w:r>
    </w:p>
    <w:p w14:paraId="4498AAA9" w14:textId="77777777" w:rsidR="0079246E" w:rsidRPr="0079246E" w:rsidRDefault="0079246E" w:rsidP="0079246E">
      <w:pPr>
        <w:jc w:val="both"/>
        <w:rPr>
          <w:rFonts w:ascii="Verdana" w:hAnsi="Verdana"/>
          <w:sz w:val="22"/>
        </w:rPr>
      </w:pPr>
    </w:p>
    <w:p w14:paraId="2FD7FCF2" w14:textId="77777777" w:rsidR="0079246E" w:rsidRPr="0079246E" w:rsidRDefault="0079246E" w:rsidP="0079246E">
      <w:pPr>
        <w:jc w:val="both"/>
        <w:rPr>
          <w:rFonts w:ascii="Verdana" w:hAnsi="Verdana"/>
          <w:sz w:val="22"/>
        </w:rPr>
      </w:pPr>
      <w:r w:rsidRPr="0079246E">
        <w:rPr>
          <w:rFonts w:ascii="Verdana" w:hAnsi="Verdana"/>
          <w:b/>
          <w:bCs/>
          <w:sz w:val="22"/>
        </w:rPr>
        <w:t>Destek ve Danışmanlık:</w:t>
      </w:r>
      <w:r w:rsidRPr="0079246E">
        <w:rPr>
          <w:rFonts w:ascii="Verdana" w:hAnsi="Verdana"/>
          <w:sz w:val="22"/>
        </w:rPr>
        <w:t xml:space="preserve"> Şikayet bildiriminde bulunan çalışanlara psikolojik ve hukuki destek sağlanır. Şikayetlerin çözümü için gerekli danışmanlık ve rehberlik hizmetleri sunulur.</w:t>
      </w:r>
    </w:p>
    <w:p w14:paraId="0C0FAACE" w14:textId="77777777" w:rsidR="0079246E" w:rsidRPr="0079246E" w:rsidRDefault="0079246E" w:rsidP="0079246E">
      <w:pPr>
        <w:jc w:val="both"/>
        <w:rPr>
          <w:rFonts w:ascii="Verdana" w:hAnsi="Verdana"/>
          <w:sz w:val="22"/>
        </w:rPr>
      </w:pPr>
    </w:p>
    <w:p w14:paraId="501860F9" w14:textId="77777777" w:rsidR="0079246E" w:rsidRPr="0079246E" w:rsidRDefault="0079246E" w:rsidP="0079246E">
      <w:pPr>
        <w:jc w:val="both"/>
        <w:rPr>
          <w:rFonts w:ascii="Verdana" w:hAnsi="Verdana"/>
          <w:b/>
          <w:bCs/>
          <w:sz w:val="22"/>
        </w:rPr>
      </w:pPr>
      <w:r w:rsidRPr="0079246E">
        <w:rPr>
          <w:rFonts w:ascii="Verdana" w:hAnsi="Verdana"/>
          <w:b/>
          <w:bCs/>
          <w:sz w:val="22"/>
        </w:rPr>
        <w:t>6. Sürekli İzleme ve İyileştirme</w:t>
      </w:r>
    </w:p>
    <w:p w14:paraId="524D1CE1" w14:textId="77777777" w:rsidR="0079246E" w:rsidRPr="0079246E" w:rsidRDefault="0079246E" w:rsidP="0079246E">
      <w:pPr>
        <w:jc w:val="both"/>
        <w:rPr>
          <w:rFonts w:ascii="Verdana" w:hAnsi="Verdana"/>
          <w:sz w:val="22"/>
        </w:rPr>
      </w:pPr>
      <w:r w:rsidRPr="0079246E">
        <w:rPr>
          <w:rFonts w:ascii="Verdana" w:hAnsi="Verdana"/>
          <w:b/>
          <w:bCs/>
          <w:sz w:val="22"/>
        </w:rPr>
        <w:t>Politika İzleme:</w:t>
      </w:r>
      <w:r w:rsidRPr="0079246E">
        <w:rPr>
          <w:rFonts w:ascii="Verdana" w:hAnsi="Verdana"/>
          <w:sz w:val="22"/>
        </w:rPr>
        <w:t xml:space="preserve"> Kadın hakları ve cinsiyet eşitliği politikamızın etkinliği düzenli olarak izlenir ve değerlendirilir. İyileştirme gerektiren alanlar tespit edilerek gerekli değişiklikler yapılır.</w:t>
      </w:r>
    </w:p>
    <w:p w14:paraId="7359B735" w14:textId="77777777" w:rsidR="0079246E" w:rsidRPr="0079246E" w:rsidRDefault="0079246E" w:rsidP="0079246E">
      <w:pPr>
        <w:jc w:val="both"/>
        <w:rPr>
          <w:rFonts w:ascii="Verdana" w:hAnsi="Verdana"/>
          <w:sz w:val="22"/>
        </w:rPr>
      </w:pPr>
    </w:p>
    <w:p w14:paraId="53D6536E" w14:textId="77777777" w:rsidR="0079246E" w:rsidRPr="0079246E" w:rsidRDefault="0079246E" w:rsidP="0079246E">
      <w:pPr>
        <w:jc w:val="both"/>
        <w:rPr>
          <w:rFonts w:ascii="Verdana" w:hAnsi="Verdana"/>
          <w:sz w:val="22"/>
        </w:rPr>
      </w:pPr>
      <w:r w:rsidRPr="0079246E">
        <w:rPr>
          <w:rFonts w:ascii="Verdana" w:hAnsi="Verdana"/>
          <w:b/>
          <w:bCs/>
          <w:sz w:val="22"/>
        </w:rPr>
        <w:t>Çalışan Anketleri:</w:t>
      </w:r>
      <w:r w:rsidRPr="0079246E">
        <w:rPr>
          <w:rFonts w:ascii="Verdana" w:hAnsi="Verdana"/>
          <w:sz w:val="22"/>
        </w:rPr>
        <w:t xml:space="preserve"> Kadın hakları ve cinsiyet eşitliği konularında çalışanlarımızın görüşlerini almak amacıyla düzenli olarak anketler yapılır. Çalışan geri bildirimleri, politika ve uygulamalarımızın geliştirilmesinde dikkate alınır.</w:t>
      </w:r>
    </w:p>
    <w:p w14:paraId="604B8172" w14:textId="77777777" w:rsidR="0079246E" w:rsidRPr="0079246E" w:rsidRDefault="0079246E" w:rsidP="0079246E">
      <w:pPr>
        <w:jc w:val="both"/>
        <w:rPr>
          <w:rFonts w:ascii="Verdana" w:hAnsi="Verdana"/>
          <w:sz w:val="22"/>
        </w:rPr>
      </w:pPr>
    </w:p>
    <w:p w14:paraId="4BB1CE20" w14:textId="77777777" w:rsidR="0079246E" w:rsidRPr="0079246E" w:rsidRDefault="0079246E" w:rsidP="0079246E">
      <w:pPr>
        <w:jc w:val="both"/>
        <w:rPr>
          <w:rFonts w:ascii="Verdana" w:hAnsi="Verdana"/>
          <w:b/>
          <w:bCs/>
          <w:sz w:val="22"/>
        </w:rPr>
      </w:pPr>
      <w:r w:rsidRPr="0079246E">
        <w:rPr>
          <w:rFonts w:ascii="Verdana" w:hAnsi="Verdana"/>
          <w:b/>
          <w:bCs/>
          <w:sz w:val="22"/>
        </w:rPr>
        <w:t>7. Yasal Uyum</w:t>
      </w:r>
    </w:p>
    <w:p w14:paraId="7F3D880C" w14:textId="77777777" w:rsidR="0079246E" w:rsidRPr="0079246E" w:rsidRDefault="0079246E" w:rsidP="0079246E">
      <w:pPr>
        <w:jc w:val="both"/>
        <w:rPr>
          <w:rFonts w:ascii="Verdana" w:hAnsi="Verdana"/>
          <w:sz w:val="22"/>
        </w:rPr>
      </w:pPr>
      <w:r w:rsidRPr="0079246E">
        <w:rPr>
          <w:rFonts w:ascii="Verdana" w:hAnsi="Verdana"/>
          <w:sz w:val="22"/>
        </w:rPr>
        <w:t>Bu politika, ulusal ve uluslararası kadın hakları, cinsiyet eşitliği ve ayrımcılıkla mücadele yasalarına uygun olarak hazırlanmıştır. Otelimiz, yürürlükteki tüm yasal düzenlemelere uyumu taahhüt eder.</w:t>
      </w:r>
    </w:p>
    <w:p w14:paraId="7699402C" w14:textId="77777777" w:rsidR="0079246E" w:rsidRPr="0079246E" w:rsidRDefault="0079246E" w:rsidP="0079246E">
      <w:pPr>
        <w:jc w:val="both"/>
        <w:rPr>
          <w:rFonts w:ascii="Verdana" w:hAnsi="Verdana"/>
          <w:sz w:val="22"/>
        </w:rPr>
      </w:pPr>
    </w:p>
    <w:p w14:paraId="703FD616" w14:textId="77777777" w:rsidR="0079246E" w:rsidRPr="0079246E" w:rsidRDefault="0079246E" w:rsidP="0079246E">
      <w:pPr>
        <w:jc w:val="both"/>
        <w:rPr>
          <w:rFonts w:ascii="Verdana" w:hAnsi="Verdana"/>
          <w:b/>
          <w:bCs/>
          <w:sz w:val="22"/>
        </w:rPr>
      </w:pPr>
      <w:r w:rsidRPr="0079246E">
        <w:rPr>
          <w:rFonts w:ascii="Verdana" w:hAnsi="Verdana"/>
          <w:b/>
          <w:bCs/>
          <w:sz w:val="22"/>
        </w:rPr>
        <w:t>Sonuç</w:t>
      </w:r>
    </w:p>
    <w:p w14:paraId="20111E53" w14:textId="5C04FECE" w:rsidR="008956FF" w:rsidRPr="008956FF" w:rsidRDefault="0079246E" w:rsidP="0079246E">
      <w:pPr>
        <w:jc w:val="both"/>
        <w:rPr>
          <w:rFonts w:ascii="Verdana" w:hAnsi="Verdana"/>
          <w:sz w:val="22"/>
        </w:rPr>
      </w:pPr>
      <w:r w:rsidRPr="0079246E">
        <w:rPr>
          <w:rFonts w:ascii="Verdana" w:hAnsi="Verdana"/>
          <w:sz w:val="22"/>
        </w:rPr>
        <w:t>Otelimizin Kadın Hakları ve Cinsiyet Eşitliği Politikası, tüm çalışanlarımızın ve misafirlerimizin haklarına saygı göstermeyi ve eşit fırsatlar sunmayı amaçlamaktadır. Amacımız, herkes için güvenli, saygılı ve adil bir çalışma ortamı yaratarak, otelimizin kültürünü ve topluluğumuzu zenginleştirmektir. Tüm çalışanlarımızın bu politikaya uyum göstermesi ve kadın hakları ile cinsiyet eşitliğine olan bağlılığımızı desteklemesi beklenmektedir.</w:t>
      </w:r>
    </w:p>
    <w:p w14:paraId="6200AC4C" w14:textId="4EDEB819" w:rsidR="008956FF" w:rsidRPr="008956FF" w:rsidRDefault="008956FF" w:rsidP="0079246E">
      <w:pPr>
        <w:jc w:val="both"/>
        <w:rPr>
          <w:rFonts w:ascii="Verdana" w:hAnsi="Verdana"/>
          <w:sz w:val="22"/>
        </w:rPr>
      </w:pPr>
    </w:p>
    <w:p w14:paraId="514984C7" w14:textId="0C779D23" w:rsidR="008956FF" w:rsidRPr="008956FF" w:rsidRDefault="008956FF" w:rsidP="0079246E">
      <w:pPr>
        <w:jc w:val="both"/>
        <w:rPr>
          <w:rFonts w:ascii="Verdana" w:hAnsi="Verdana"/>
          <w:sz w:val="22"/>
        </w:rPr>
      </w:pPr>
    </w:p>
    <w:p w14:paraId="63D40F32" w14:textId="5957D5F1" w:rsidR="008956FF" w:rsidRPr="008956FF" w:rsidRDefault="008956FF" w:rsidP="008956FF">
      <w:pPr>
        <w:rPr>
          <w:rFonts w:ascii="Verdana" w:hAnsi="Verdana"/>
          <w:sz w:val="22"/>
        </w:rPr>
      </w:pPr>
    </w:p>
    <w:p w14:paraId="19B76428" w14:textId="2B8A11B3" w:rsidR="008956FF" w:rsidRPr="008956FF" w:rsidRDefault="008956FF" w:rsidP="008956FF">
      <w:pPr>
        <w:rPr>
          <w:rFonts w:ascii="Verdana" w:hAnsi="Verdana"/>
          <w:sz w:val="22"/>
        </w:rPr>
      </w:pPr>
    </w:p>
    <w:p w14:paraId="6AD5B839" w14:textId="24094564" w:rsidR="008956FF" w:rsidRDefault="008956FF" w:rsidP="008956FF">
      <w:pPr>
        <w:rPr>
          <w:rFonts w:ascii="Verdana" w:hAnsi="Verdana"/>
          <w:sz w:val="22"/>
        </w:rPr>
      </w:pPr>
    </w:p>
    <w:p w14:paraId="12B7C959" w14:textId="2FB421C4" w:rsidR="008956FF" w:rsidRPr="008956FF" w:rsidRDefault="008956FF" w:rsidP="008956FF">
      <w:pPr>
        <w:tabs>
          <w:tab w:val="left" w:pos="8115"/>
        </w:tabs>
        <w:rPr>
          <w:rFonts w:ascii="Verdana" w:hAnsi="Verdana"/>
          <w:sz w:val="22"/>
        </w:rPr>
      </w:pPr>
      <w:r>
        <w:rPr>
          <w:rFonts w:ascii="Verdana" w:hAnsi="Verdana"/>
          <w:sz w:val="22"/>
        </w:rPr>
        <w:tab/>
      </w:r>
    </w:p>
    <w:sectPr w:rsidR="008956FF" w:rsidRPr="008956FF" w:rsidSect="008956FF">
      <w:headerReference w:type="even" r:id="rId11"/>
      <w:headerReference w:type="default" r:id="rId12"/>
      <w:footerReference w:type="even" r:id="rId13"/>
      <w:footerReference w:type="default" r:id="rId14"/>
      <w:headerReference w:type="first" r:id="rId15"/>
      <w:footerReference w:type="first" r:id="rId16"/>
      <w:pgSz w:w="11906" w:h="16838"/>
      <w:pgMar w:top="635" w:right="849" w:bottom="993" w:left="993" w:header="624" w:footer="836" w:gutter="0"/>
      <w:pgBorders>
        <w:top w:val="double" w:sz="4" w:space="1" w:color="auto"/>
        <w:left w:val="double" w:sz="4" w:space="19" w:color="auto"/>
        <w:bottom w:val="double" w:sz="4" w:space="1" w:color="auto"/>
        <w:right w:val="double" w:sz="4" w:space="12"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CED3" w14:textId="77777777" w:rsidR="009B4FF1" w:rsidRDefault="009B4FF1" w:rsidP="00E574E4">
      <w:r>
        <w:separator/>
      </w:r>
    </w:p>
  </w:endnote>
  <w:endnote w:type="continuationSeparator" w:id="0">
    <w:p w14:paraId="15DA5C63" w14:textId="77777777" w:rsidR="009B4FF1" w:rsidRDefault="009B4FF1" w:rsidP="00E574E4">
      <w:r>
        <w:continuationSeparator/>
      </w:r>
    </w:p>
  </w:endnote>
  <w:endnote w:type="continuationNotice" w:id="1">
    <w:p w14:paraId="0DA1B86A" w14:textId="77777777" w:rsidR="009B4FF1" w:rsidRDefault="009B4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0BF61" w14:textId="77777777" w:rsidR="002A5242" w:rsidRDefault="002A524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22806"/>
      <w:docPartObj>
        <w:docPartGallery w:val="Page Numbers (Bottom of Page)"/>
        <w:docPartUnique/>
      </w:docPartObj>
    </w:sdtPr>
    <w:sdtEndPr/>
    <w:sdtContent>
      <w:p w14:paraId="276EC022" w14:textId="1846ED35" w:rsidR="008B2F15" w:rsidRDefault="002B4311" w:rsidP="00BF4B17">
        <w:pPr>
          <w:pStyle w:val="AltBilgi"/>
          <w:jc w:val="right"/>
        </w:pPr>
        <w:r>
          <w:fldChar w:fldCharType="begin"/>
        </w:r>
        <w:r>
          <w:instrText>PAGE   \* MERGEFORMAT</w:instrText>
        </w:r>
        <w:r>
          <w:fldChar w:fldCharType="separate"/>
        </w:r>
        <w:r w:rsidR="00163098">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F100" w14:textId="77777777" w:rsidR="002A5242" w:rsidRDefault="002A52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14658" w14:textId="77777777" w:rsidR="009B4FF1" w:rsidRDefault="009B4FF1" w:rsidP="00E574E4">
      <w:r>
        <w:separator/>
      </w:r>
    </w:p>
  </w:footnote>
  <w:footnote w:type="continuationSeparator" w:id="0">
    <w:p w14:paraId="002667CE" w14:textId="77777777" w:rsidR="009B4FF1" w:rsidRDefault="009B4FF1" w:rsidP="00E574E4">
      <w:r>
        <w:continuationSeparator/>
      </w:r>
    </w:p>
  </w:footnote>
  <w:footnote w:type="continuationNotice" w:id="1">
    <w:p w14:paraId="418BA617" w14:textId="77777777" w:rsidR="009B4FF1" w:rsidRDefault="009B4FF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834A" w14:textId="77777777" w:rsidR="002A5242" w:rsidRDefault="002A524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70" w:type="dxa"/>
      </w:tblCellMar>
      <w:tblLook w:val="04A0" w:firstRow="1" w:lastRow="0" w:firstColumn="1" w:lastColumn="0" w:noHBand="0" w:noVBand="1"/>
    </w:tblPr>
    <w:tblGrid>
      <w:gridCol w:w="2127"/>
      <w:gridCol w:w="5528"/>
      <w:gridCol w:w="1560"/>
      <w:gridCol w:w="1275"/>
    </w:tblGrid>
    <w:tr w:rsidR="00FD6374" w:rsidRPr="000E32D2" w14:paraId="1CDC55ED" w14:textId="77777777" w:rsidTr="008956FF">
      <w:trPr>
        <w:trHeight w:val="291"/>
      </w:trPr>
      <w:tc>
        <w:tcPr>
          <w:tcW w:w="2127" w:type="dxa"/>
          <w:vMerge w:val="restart"/>
          <w:shd w:val="clear" w:color="auto" w:fill="auto"/>
          <w:noWrap/>
          <w:vAlign w:val="center"/>
          <w:hideMark/>
        </w:tcPr>
        <w:p w14:paraId="4AC5D816" w14:textId="1E49136A" w:rsidR="00FD6374" w:rsidRPr="000E32D2" w:rsidRDefault="00FD6374" w:rsidP="001B5C9B">
          <w:pPr>
            <w:jc w:val="center"/>
            <w:rPr>
              <w:color w:val="000000"/>
              <w:sz w:val="18"/>
              <w:szCs w:val="18"/>
            </w:rPr>
          </w:pPr>
          <w:bookmarkStart w:id="0" w:name="_GoBack"/>
          <w:bookmarkEnd w:id="0"/>
        </w:p>
      </w:tc>
      <w:tc>
        <w:tcPr>
          <w:tcW w:w="5528" w:type="dxa"/>
          <w:vMerge w:val="restart"/>
          <w:shd w:val="clear" w:color="auto" w:fill="auto"/>
          <w:vAlign w:val="center"/>
          <w:hideMark/>
        </w:tcPr>
        <w:p w14:paraId="22FF9CC9" w14:textId="4287FDA1" w:rsidR="002B4311" w:rsidRPr="000E32D2" w:rsidRDefault="0079246E" w:rsidP="002B4311">
          <w:pPr>
            <w:jc w:val="center"/>
            <w:rPr>
              <w:b/>
              <w:sz w:val="18"/>
              <w:szCs w:val="18"/>
            </w:rPr>
          </w:pPr>
          <w:r>
            <w:rPr>
              <w:b/>
              <w:sz w:val="28"/>
              <w:szCs w:val="20"/>
            </w:rPr>
            <w:t>KADIN HAKLARI VE CİNSİYET EŞİTLİĞİ</w:t>
          </w:r>
          <w:r w:rsidR="00867D59">
            <w:rPr>
              <w:b/>
              <w:sz w:val="28"/>
              <w:szCs w:val="20"/>
            </w:rPr>
            <w:t xml:space="preserve"> POLİTİKASI</w:t>
          </w:r>
          <w:r w:rsidR="006407DA" w:rsidRPr="00BC5FD9">
            <w:rPr>
              <w:b/>
              <w:sz w:val="28"/>
              <w:szCs w:val="20"/>
            </w:rPr>
            <w:t xml:space="preserve"> </w:t>
          </w:r>
        </w:p>
      </w:tc>
      <w:tc>
        <w:tcPr>
          <w:tcW w:w="1560" w:type="dxa"/>
          <w:shd w:val="clear" w:color="auto" w:fill="auto"/>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275" w:type="dxa"/>
          <w:shd w:val="clear" w:color="auto" w:fill="auto"/>
          <w:noWrap/>
          <w:vAlign w:val="center"/>
          <w:hideMark/>
        </w:tcPr>
        <w:p w14:paraId="6B1EEFA4" w14:textId="3B029FD1" w:rsidR="002B4311" w:rsidRPr="000E32D2" w:rsidRDefault="008956FF" w:rsidP="002B4311">
          <w:pPr>
            <w:jc w:val="center"/>
            <w:rPr>
              <w:color w:val="000000"/>
              <w:sz w:val="18"/>
              <w:szCs w:val="18"/>
            </w:rPr>
          </w:pPr>
          <w:r>
            <w:rPr>
              <w:color w:val="000000"/>
              <w:sz w:val="18"/>
              <w:szCs w:val="18"/>
            </w:rPr>
            <w:t xml:space="preserve">FORM </w:t>
          </w:r>
          <w:r w:rsidR="0079246E">
            <w:rPr>
              <w:color w:val="000000"/>
              <w:sz w:val="18"/>
              <w:szCs w:val="18"/>
            </w:rPr>
            <w:t>A1-</w:t>
          </w:r>
          <w:r w:rsidR="004A0AAA">
            <w:rPr>
              <w:color w:val="000000"/>
              <w:sz w:val="18"/>
              <w:szCs w:val="18"/>
            </w:rPr>
            <w:t>0</w:t>
          </w:r>
          <w:r w:rsidR="0079246E">
            <w:rPr>
              <w:color w:val="000000"/>
              <w:sz w:val="18"/>
              <w:szCs w:val="18"/>
            </w:rPr>
            <w:t>6</w:t>
          </w:r>
        </w:p>
      </w:tc>
    </w:tr>
    <w:tr w:rsidR="00FD6374" w:rsidRPr="000E32D2" w14:paraId="0032DCF4" w14:textId="77777777" w:rsidTr="008956FF">
      <w:trPr>
        <w:trHeight w:val="291"/>
      </w:trPr>
      <w:tc>
        <w:tcPr>
          <w:tcW w:w="2127" w:type="dxa"/>
          <w:vMerge/>
          <w:shd w:val="clear" w:color="auto" w:fill="auto"/>
          <w:noWrap/>
          <w:vAlign w:val="center"/>
        </w:tcPr>
        <w:p w14:paraId="4BD91593" w14:textId="77777777" w:rsidR="002B4311" w:rsidRPr="000E32D2" w:rsidRDefault="002B4311" w:rsidP="002B4311">
          <w:pPr>
            <w:jc w:val="center"/>
            <w:rPr>
              <w:noProof/>
              <w:color w:val="000000"/>
              <w:sz w:val="18"/>
              <w:szCs w:val="18"/>
            </w:rPr>
          </w:pPr>
        </w:p>
      </w:tc>
      <w:tc>
        <w:tcPr>
          <w:tcW w:w="5528" w:type="dxa"/>
          <w:vMerge/>
          <w:shd w:val="clear" w:color="auto" w:fill="auto"/>
          <w:vAlign w:val="center"/>
        </w:tcPr>
        <w:p w14:paraId="621D963F" w14:textId="77777777" w:rsidR="002B4311" w:rsidRPr="000E32D2" w:rsidRDefault="002B4311" w:rsidP="002B4311">
          <w:pPr>
            <w:jc w:val="center"/>
            <w:rPr>
              <w:b/>
              <w:bCs/>
              <w:color w:val="000000"/>
              <w:sz w:val="18"/>
              <w:szCs w:val="18"/>
            </w:rPr>
          </w:pPr>
        </w:p>
      </w:tc>
      <w:tc>
        <w:tcPr>
          <w:tcW w:w="1560" w:type="dxa"/>
          <w:shd w:val="clear" w:color="auto" w:fill="auto"/>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275" w:type="dxa"/>
          <w:shd w:val="clear" w:color="auto" w:fill="auto"/>
          <w:noWrap/>
          <w:vAlign w:val="center"/>
        </w:tcPr>
        <w:p w14:paraId="0DDA065D" w14:textId="5CC0E186" w:rsidR="009C362C" w:rsidRPr="000E32D2" w:rsidRDefault="002A5242" w:rsidP="009C362C">
          <w:pPr>
            <w:jc w:val="center"/>
            <w:rPr>
              <w:color w:val="000000"/>
              <w:sz w:val="18"/>
              <w:szCs w:val="18"/>
            </w:rPr>
          </w:pPr>
          <w:r w:rsidRPr="002A5242">
            <w:rPr>
              <w:color w:val="000000"/>
              <w:sz w:val="18"/>
              <w:szCs w:val="18"/>
            </w:rPr>
            <w:t>02.01.2025</w:t>
          </w:r>
        </w:p>
      </w:tc>
    </w:tr>
    <w:tr w:rsidR="00FD6374" w:rsidRPr="000E32D2" w14:paraId="6FBF1471" w14:textId="77777777" w:rsidTr="008956FF">
      <w:trPr>
        <w:trHeight w:val="291"/>
      </w:trPr>
      <w:tc>
        <w:tcPr>
          <w:tcW w:w="2127" w:type="dxa"/>
          <w:vMerge/>
          <w:shd w:val="clear" w:color="auto" w:fill="auto"/>
          <w:noWrap/>
          <w:vAlign w:val="bottom"/>
          <w:hideMark/>
        </w:tcPr>
        <w:p w14:paraId="3A5334D6" w14:textId="77777777" w:rsidR="002B4311" w:rsidRPr="000E32D2" w:rsidRDefault="002B4311" w:rsidP="002B4311">
          <w:pPr>
            <w:rPr>
              <w:color w:val="000000"/>
              <w:sz w:val="18"/>
              <w:szCs w:val="18"/>
            </w:rPr>
          </w:pPr>
        </w:p>
      </w:tc>
      <w:tc>
        <w:tcPr>
          <w:tcW w:w="5528" w:type="dxa"/>
          <w:vMerge/>
          <w:vAlign w:val="center"/>
          <w:hideMark/>
        </w:tcPr>
        <w:p w14:paraId="251ED86D" w14:textId="77777777" w:rsidR="002B4311" w:rsidRPr="000E32D2" w:rsidRDefault="002B4311" w:rsidP="002B4311">
          <w:pPr>
            <w:jc w:val="center"/>
            <w:rPr>
              <w:b/>
              <w:bCs/>
              <w:color w:val="000000"/>
              <w:sz w:val="18"/>
              <w:szCs w:val="18"/>
            </w:rPr>
          </w:pPr>
        </w:p>
      </w:tc>
      <w:tc>
        <w:tcPr>
          <w:tcW w:w="1560" w:type="dxa"/>
          <w:shd w:val="clear" w:color="auto" w:fill="auto"/>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275" w:type="dxa"/>
          <w:shd w:val="clear" w:color="auto" w:fill="auto"/>
          <w:noWrap/>
          <w:vAlign w:val="center"/>
          <w:hideMark/>
        </w:tcPr>
        <w:p w14:paraId="5A0E4021" w14:textId="5E3EEBB7" w:rsidR="002B4311" w:rsidRPr="000E32D2" w:rsidRDefault="002B4311" w:rsidP="002B4311">
          <w:pPr>
            <w:jc w:val="center"/>
            <w:rPr>
              <w:color w:val="000000"/>
              <w:sz w:val="18"/>
              <w:szCs w:val="18"/>
            </w:rPr>
          </w:pPr>
          <w:r w:rsidRPr="000E32D2">
            <w:rPr>
              <w:color w:val="000000"/>
              <w:sz w:val="18"/>
              <w:szCs w:val="18"/>
            </w:rPr>
            <w:t>0</w:t>
          </w:r>
          <w:r w:rsidR="004A0AAA">
            <w:rPr>
              <w:color w:val="000000"/>
              <w:sz w:val="18"/>
              <w:szCs w:val="18"/>
            </w:rPr>
            <w:t>0</w:t>
          </w:r>
        </w:p>
      </w:tc>
    </w:tr>
    <w:tr w:rsidR="00FD6374" w:rsidRPr="000E32D2" w14:paraId="053DF6CB" w14:textId="77777777" w:rsidTr="008956FF">
      <w:trPr>
        <w:trHeight w:val="291"/>
      </w:trPr>
      <w:tc>
        <w:tcPr>
          <w:tcW w:w="2127" w:type="dxa"/>
          <w:vMerge/>
          <w:shd w:val="clear" w:color="auto" w:fill="auto"/>
          <w:noWrap/>
          <w:vAlign w:val="bottom"/>
          <w:hideMark/>
        </w:tcPr>
        <w:p w14:paraId="108026D1" w14:textId="77777777" w:rsidR="002B4311" w:rsidRPr="000E32D2" w:rsidRDefault="002B4311" w:rsidP="002B4311">
          <w:pPr>
            <w:rPr>
              <w:color w:val="000000"/>
              <w:sz w:val="18"/>
              <w:szCs w:val="18"/>
            </w:rPr>
          </w:pPr>
        </w:p>
      </w:tc>
      <w:tc>
        <w:tcPr>
          <w:tcW w:w="5528" w:type="dxa"/>
          <w:vMerge/>
          <w:shd w:val="clear" w:color="auto" w:fill="auto"/>
          <w:vAlign w:val="center"/>
          <w:hideMark/>
        </w:tcPr>
        <w:p w14:paraId="1F5DEBD5" w14:textId="77777777" w:rsidR="002B4311" w:rsidRPr="000E32D2" w:rsidRDefault="002B4311" w:rsidP="002B4311">
          <w:pPr>
            <w:jc w:val="center"/>
            <w:rPr>
              <w:b/>
              <w:bCs/>
              <w:color w:val="000000"/>
              <w:sz w:val="18"/>
              <w:szCs w:val="18"/>
            </w:rPr>
          </w:pPr>
        </w:p>
      </w:tc>
      <w:tc>
        <w:tcPr>
          <w:tcW w:w="1560" w:type="dxa"/>
          <w:shd w:val="clear" w:color="auto" w:fill="auto"/>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275" w:type="dxa"/>
          <w:shd w:val="clear" w:color="auto" w:fill="auto"/>
          <w:noWrap/>
          <w:vAlign w:val="center"/>
          <w:hideMark/>
        </w:tcPr>
        <w:p w14:paraId="66166C19" w14:textId="77777777" w:rsidR="002B4311" w:rsidRPr="000E32D2" w:rsidRDefault="002B4311" w:rsidP="002B4311">
          <w:pPr>
            <w:jc w:val="center"/>
            <w:rPr>
              <w:color w:val="000000"/>
              <w:sz w:val="18"/>
              <w:szCs w:val="18"/>
            </w:rPr>
          </w:pPr>
        </w:p>
      </w:tc>
    </w:tr>
    <w:tr w:rsidR="00FD6374" w:rsidRPr="000E32D2" w14:paraId="18ED8534" w14:textId="77777777" w:rsidTr="008956FF">
      <w:trPr>
        <w:trHeight w:val="291"/>
      </w:trPr>
      <w:tc>
        <w:tcPr>
          <w:tcW w:w="2127" w:type="dxa"/>
          <w:vMerge/>
          <w:shd w:val="clear" w:color="auto" w:fill="auto"/>
          <w:noWrap/>
          <w:vAlign w:val="bottom"/>
          <w:hideMark/>
        </w:tcPr>
        <w:p w14:paraId="353178F4" w14:textId="77777777" w:rsidR="002B4311" w:rsidRPr="000E32D2" w:rsidRDefault="002B4311" w:rsidP="002B4311">
          <w:pPr>
            <w:rPr>
              <w:color w:val="000000"/>
              <w:sz w:val="18"/>
              <w:szCs w:val="18"/>
            </w:rPr>
          </w:pPr>
        </w:p>
      </w:tc>
      <w:tc>
        <w:tcPr>
          <w:tcW w:w="5528" w:type="dxa"/>
          <w:vMerge/>
          <w:vAlign w:val="center"/>
          <w:hideMark/>
        </w:tcPr>
        <w:p w14:paraId="45F9ECC0" w14:textId="77777777" w:rsidR="002B4311" w:rsidRPr="000E32D2" w:rsidRDefault="002B4311" w:rsidP="002B4311">
          <w:pPr>
            <w:rPr>
              <w:b/>
              <w:bCs/>
              <w:color w:val="000000"/>
              <w:sz w:val="18"/>
              <w:szCs w:val="18"/>
            </w:rPr>
          </w:pPr>
        </w:p>
      </w:tc>
      <w:tc>
        <w:tcPr>
          <w:tcW w:w="1560" w:type="dxa"/>
          <w:shd w:val="clear" w:color="auto" w:fill="auto"/>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275" w:type="dxa"/>
          <w:shd w:val="clear" w:color="auto" w:fill="auto"/>
          <w:noWrap/>
          <w:vAlign w:val="center"/>
          <w:hideMark/>
        </w:tcPr>
        <w:p w14:paraId="2FF65A28" w14:textId="6309E3C0"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163098">
            <w:rPr>
              <w:b/>
              <w:bCs/>
              <w:noProof/>
              <w:color w:val="000000"/>
              <w:sz w:val="18"/>
              <w:szCs w:val="18"/>
            </w:rPr>
            <w:t>1</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163098" w:rsidRPr="00163098">
            <w:rPr>
              <w:b/>
              <w:bCs/>
              <w:noProof/>
              <w:color w:val="000000"/>
              <w:sz w:val="18"/>
              <w:szCs w:val="18"/>
            </w:rPr>
            <w:t>2</w:t>
          </w:r>
          <w:r w:rsidR="00A94907" w:rsidRPr="000E32D2">
            <w:rPr>
              <w:b/>
              <w:bCs/>
              <w:noProof/>
              <w:color w:val="000000"/>
              <w:sz w:val="18"/>
              <w:szCs w:val="18"/>
            </w:rPr>
            <w:fldChar w:fldCharType="end"/>
          </w:r>
        </w:p>
      </w:tc>
    </w:tr>
  </w:tbl>
  <w:p w14:paraId="36F5A222" w14:textId="77777777" w:rsidR="008B2F15" w:rsidRPr="009F00A0" w:rsidRDefault="008B2F15">
    <w:pPr>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2ED80" w14:textId="77777777" w:rsidR="002A5242" w:rsidRDefault="002A524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15:restartNumberingAfterBreak="0">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3"/>
  </w:num>
  <w:num w:numId="5">
    <w:abstractNumId w:val="8"/>
  </w:num>
  <w:num w:numId="6">
    <w:abstractNumId w:val="0"/>
  </w:num>
  <w:num w:numId="7">
    <w:abstractNumId w:val="12"/>
  </w:num>
  <w:num w:numId="8">
    <w:abstractNumId w:val="5"/>
  </w:num>
  <w:num w:numId="9">
    <w:abstractNumId w:val="6"/>
  </w:num>
  <w:num w:numId="10">
    <w:abstractNumId w:val="9"/>
  </w:num>
  <w:num w:numId="11">
    <w:abstractNumId w:val="7"/>
  </w:num>
  <w:num w:numId="12">
    <w:abstractNumId w:val="4"/>
  </w:num>
  <w:num w:numId="13">
    <w:abstractNumId w:val="4"/>
  </w:num>
  <w:num w:numId="14">
    <w:abstractNumId w:val="4"/>
  </w:num>
  <w:num w:numId="15">
    <w:abstractNumId w:val="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4591"/>
    <w:rsid w:val="00075507"/>
    <w:rsid w:val="00075D2B"/>
    <w:rsid w:val="00077527"/>
    <w:rsid w:val="00077C0A"/>
    <w:rsid w:val="00080C86"/>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2CA4"/>
    <w:rsid w:val="00105250"/>
    <w:rsid w:val="0010779A"/>
    <w:rsid w:val="00115CA6"/>
    <w:rsid w:val="00116153"/>
    <w:rsid w:val="001170FA"/>
    <w:rsid w:val="00117CE9"/>
    <w:rsid w:val="00123AC0"/>
    <w:rsid w:val="00124255"/>
    <w:rsid w:val="00124F41"/>
    <w:rsid w:val="001256E4"/>
    <w:rsid w:val="00126BE3"/>
    <w:rsid w:val="0012797D"/>
    <w:rsid w:val="001337E7"/>
    <w:rsid w:val="0013554D"/>
    <w:rsid w:val="001370B7"/>
    <w:rsid w:val="00141072"/>
    <w:rsid w:val="00142ADF"/>
    <w:rsid w:val="0015061F"/>
    <w:rsid w:val="0015082A"/>
    <w:rsid w:val="0015121D"/>
    <w:rsid w:val="0015379C"/>
    <w:rsid w:val="00154BAA"/>
    <w:rsid w:val="00163098"/>
    <w:rsid w:val="00164248"/>
    <w:rsid w:val="00171FEB"/>
    <w:rsid w:val="00175365"/>
    <w:rsid w:val="001769FE"/>
    <w:rsid w:val="00176A14"/>
    <w:rsid w:val="00177A0B"/>
    <w:rsid w:val="001819F5"/>
    <w:rsid w:val="00185B5D"/>
    <w:rsid w:val="00185EA8"/>
    <w:rsid w:val="00185F39"/>
    <w:rsid w:val="001871A1"/>
    <w:rsid w:val="00190654"/>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5C9B"/>
    <w:rsid w:val="001B73FD"/>
    <w:rsid w:val="001C00C1"/>
    <w:rsid w:val="001C0793"/>
    <w:rsid w:val="001C1BA9"/>
    <w:rsid w:val="001C5167"/>
    <w:rsid w:val="001C5BD1"/>
    <w:rsid w:val="001C637D"/>
    <w:rsid w:val="001D2164"/>
    <w:rsid w:val="001D775C"/>
    <w:rsid w:val="001E1270"/>
    <w:rsid w:val="001E1519"/>
    <w:rsid w:val="001E1A43"/>
    <w:rsid w:val="001E2C98"/>
    <w:rsid w:val="001E790B"/>
    <w:rsid w:val="001F267D"/>
    <w:rsid w:val="001F3026"/>
    <w:rsid w:val="00210C31"/>
    <w:rsid w:val="00212770"/>
    <w:rsid w:val="0021369E"/>
    <w:rsid w:val="00216D79"/>
    <w:rsid w:val="00220FC2"/>
    <w:rsid w:val="002241D5"/>
    <w:rsid w:val="0022542D"/>
    <w:rsid w:val="00225F5A"/>
    <w:rsid w:val="002273A8"/>
    <w:rsid w:val="00231426"/>
    <w:rsid w:val="00233B0C"/>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242"/>
    <w:rsid w:val="002A53C9"/>
    <w:rsid w:val="002A736A"/>
    <w:rsid w:val="002B052D"/>
    <w:rsid w:val="002B1E80"/>
    <w:rsid w:val="002B4311"/>
    <w:rsid w:val="002B64C3"/>
    <w:rsid w:val="002C05B7"/>
    <w:rsid w:val="002C3EFD"/>
    <w:rsid w:val="002C619C"/>
    <w:rsid w:val="002D1EE7"/>
    <w:rsid w:val="002D3CA6"/>
    <w:rsid w:val="002D497F"/>
    <w:rsid w:val="002D4D1A"/>
    <w:rsid w:val="002D643B"/>
    <w:rsid w:val="002E19AD"/>
    <w:rsid w:val="002E3967"/>
    <w:rsid w:val="002F0420"/>
    <w:rsid w:val="002F127A"/>
    <w:rsid w:val="002F1CB7"/>
    <w:rsid w:val="002F39CD"/>
    <w:rsid w:val="002F5330"/>
    <w:rsid w:val="00300793"/>
    <w:rsid w:val="00302297"/>
    <w:rsid w:val="003041F8"/>
    <w:rsid w:val="00305A50"/>
    <w:rsid w:val="00305ECD"/>
    <w:rsid w:val="003075EF"/>
    <w:rsid w:val="00310EC0"/>
    <w:rsid w:val="0031389B"/>
    <w:rsid w:val="00313DB2"/>
    <w:rsid w:val="0031475E"/>
    <w:rsid w:val="00327FF6"/>
    <w:rsid w:val="00331888"/>
    <w:rsid w:val="003318E5"/>
    <w:rsid w:val="00334884"/>
    <w:rsid w:val="0034023F"/>
    <w:rsid w:val="00341749"/>
    <w:rsid w:val="00346579"/>
    <w:rsid w:val="00346FC8"/>
    <w:rsid w:val="003563C8"/>
    <w:rsid w:val="0035721B"/>
    <w:rsid w:val="00360967"/>
    <w:rsid w:val="0036114F"/>
    <w:rsid w:val="00362598"/>
    <w:rsid w:val="00362E4D"/>
    <w:rsid w:val="003706A4"/>
    <w:rsid w:val="00372C9A"/>
    <w:rsid w:val="003757D2"/>
    <w:rsid w:val="00376E37"/>
    <w:rsid w:val="00380A9D"/>
    <w:rsid w:val="00383758"/>
    <w:rsid w:val="00384140"/>
    <w:rsid w:val="003867F2"/>
    <w:rsid w:val="00386922"/>
    <w:rsid w:val="00390690"/>
    <w:rsid w:val="003912E6"/>
    <w:rsid w:val="0039218B"/>
    <w:rsid w:val="003921B5"/>
    <w:rsid w:val="00392C07"/>
    <w:rsid w:val="00397BAD"/>
    <w:rsid w:val="003A4431"/>
    <w:rsid w:val="003A6E91"/>
    <w:rsid w:val="003A7844"/>
    <w:rsid w:val="003A7CEC"/>
    <w:rsid w:val="003B6F2A"/>
    <w:rsid w:val="003C101F"/>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0AAA"/>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26F4"/>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DEC"/>
    <w:rsid w:val="00523246"/>
    <w:rsid w:val="0052497E"/>
    <w:rsid w:val="00524AEC"/>
    <w:rsid w:val="005311A6"/>
    <w:rsid w:val="00533E02"/>
    <w:rsid w:val="00536876"/>
    <w:rsid w:val="005417FD"/>
    <w:rsid w:val="00542088"/>
    <w:rsid w:val="005477D2"/>
    <w:rsid w:val="00550B5F"/>
    <w:rsid w:val="00553A48"/>
    <w:rsid w:val="00556AED"/>
    <w:rsid w:val="00557E32"/>
    <w:rsid w:val="005617E2"/>
    <w:rsid w:val="005630A4"/>
    <w:rsid w:val="00563857"/>
    <w:rsid w:val="0056531D"/>
    <w:rsid w:val="00565474"/>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1597"/>
    <w:rsid w:val="005E54B0"/>
    <w:rsid w:val="005E5E7D"/>
    <w:rsid w:val="005E766D"/>
    <w:rsid w:val="005F01AB"/>
    <w:rsid w:val="005F305C"/>
    <w:rsid w:val="005F36EC"/>
    <w:rsid w:val="005F5C23"/>
    <w:rsid w:val="005F5CEB"/>
    <w:rsid w:val="005F700E"/>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3C6F"/>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E73"/>
    <w:rsid w:val="006B5F76"/>
    <w:rsid w:val="006C0A4B"/>
    <w:rsid w:val="006C428C"/>
    <w:rsid w:val="006C7770"/>
    <w:rsid w:val="006D3872"/>
    <w:rsid w:val="006D410A"/>
    <w:rsid w:val="006D4231"/>
    <w:rsid w:val="006D4AB3"/>
    <w:rsid w:val="006E1225"/>
    <w:rsid w:val="006E6FB5"/>
    <w:rsid w:val="006F0801"/>
    <w:rsid w:val="006F4A70"/>
    <w:rsid w:val="00700114"/>
    <w:rsid w:val="00701210"/>
    <w:rsid w:val="0070249C"/>
    <w:rsid w:val="00702530"/>
    <w:rsid w:val="007034D0"/>
    <w:rsid w:val="00704457"/>
    <w:rsid w:val="00705194"/>
    <w:rsid w:val="007057BA"/>
    <w:rsid w:val="00705C61"/>
    <w:rsid w:val="00714344"/>
    <w:rsid w:val="007200F1"/>
    <w:rsid w:val="0072474B"/>
    <w:rsid w:val="00724F9B"/>
    <w:rsid w:val="0072542E"/>
    <w:rsid w:val="00730217"/>
    <w:rsid w:val="007326F3"/>
    <w:rsid w:val="00733D1F"/>
    <w:rsid w:val="00733FC8"/>
    <w:rsid w:val="0074021C"/>
    <w:rsid w:val="0074230D"/>
    <w:rsid w:val="0074349E"/>
    <w:rsid w:val="007455E3"/>
    <w:rsid w:val="00753B00"/>
    <w:rsid w:val="007556F7"/>
    <w:rsid w:val="00756A1D"/>
    <w:rsid w:val="00756DAA"/>
    <w:rsid w:val="00756E47"/>
    <w:rsid w:val="007605B0"/>
    <w:rsid w:val="00763152"/>
    <w:rsid w:val="0076388E"/>
    <w:rsid w:val="00767E7B"/>
    <w:rsid w:val="00771668"/>
    <w:rsid w:val="00773F4E"/>
    <w:rsid w:val="0077469D"/>
    <w:rsid w:val="00774B9C"/>
    <w:rsid w:val="007771D4"/>
    <w:rsid w:val="00777BD9"/>
    <w:rsid w:val="00787888"/>
    <w:rsid w:val="0079246E"/>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0B76"/>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02B5"/>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7B7"/>
    <w:rsid w:val="00862AE5"/>
    <w:rsid w:val="0086304B"/>
    <w:rsid w:val="0086367E"/>
    <w:rsid w:val="00863DCD"/>
    <w:rsid w:val="008649E9"/>
    <w:rsid w:val="00864D20"/>
    <w:rsid w:val="0086585E"/>
    <w:rsid w:val="00867D59"/>
    <w:rsid w:val="00876192"/>
    <w:rsid w:val="00877697"/>
    <w:rsid w:val="0088019C"/>
    <w:rsid w:val="00881978"/>
    <w:rsid w:val="0088460E"/>
    <w:rsid w:val="00885173"/>
    <w:rsid w:val="00885CD3"/>
    <w:rsid w:val="00890FCD"/>
    <w:rsid w:val="00893699"/>
    <w:rsid w:val="0089401B"/>
    <w:rsid w:val="008956FF"/>
    <w:rsid w:val="008961E5"/>
    <w:rsid w:val="008A0B96"/>
    <w:rsid w:val="008A12E9"/>
    <w:rsid w:val="008A2270"/>
    <w:rsid w:val="008A29E4"/>
    <w:rsid w:val="008B0F94"/>
    <w:rsid w:val="008B21D7"/>
    <w:rsid w:val="008B2F15"/>
    <w:rsid w:val="008B4313"/>
    <w:rsid w:val="008B48C5"/>
    <w:rsid w:val="008B5A6A"/>
    <w:rsid w:val="008B5D40"/>
    <w:rsid w:val="008B62E7"/>
    <w:rsid w:val="008C0306"/>
    <w:rsid w:val="008C42E4"/>
    <w:rsid w:val="008C5DBC"/>
    <w:rsid w:val="008D0ECC"/>
    <w:rsid w:val="008D1F49"/>
    <w:rsid w:val="008D25AF"/>
    <w:rsid w:val="008D531F"/>
    <w:rsid w:val="008D69CD"/>
    <w:rsid w:val="008E3E01"/>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56EAC"/>
    <w:rsid w:val="00961E75"/>
    <w:rsid w:val="009627BA"/>
    <w:rsid w:val="00963A0D"/>
    <w:rsid w:val="00963DDB"/>
    <w:rsid w:val="00966A0C"/>
    <w:rsid w:val="00967482"/>
    <w:rsid w:val="00972CC5"/>
    <w:rsid w:val="00974962"/>
    <w:rsid w:val="009777EF"/>
    <w:rsid w:val="00977B85"/>
    <w:rsid w:val="00981B95"/>
    <w:rsid w:val="00982633"/>
    <w:rsid w:val="00984C08"/>
    <w:rsid w:val="0099123C"/>
    <w:rsid w:val="009940C9"/>
    <w:rsid w:val="00995EC8"/>
    <w:rsid w:val="00996875"/>
    <w:rsid w:val="009970FE"/>
    <w:rsid w:val="00997E2D"/>
    <w:rsid w:val="009A1397"/>
    <w:rsid w:val="009A13D3"/>
    <w:rsid w:val="009A3DCF"/>
    <w:rsid w:val="009A4EA1"/>
    <w:rsid w:val="009A5F0E"/>
    <w:rsid w:val="009A7C79"/>
    <w:rsid w:val="009B212E"/>
    <w:rsid w:val="009B2A87"/>
    <w:rsid w:val="009B2CA8"/>
    <w:rsid w:val="009B3BF9"/>
    <w:rsid w:val="009B4933"/>
    <w:rsid w:val="009B4FF1"/>
    <w:rsid w:val="009B65BF"/>
    <w:rsid w:val="009B6E48"/>
    <w:rsid w:val="009B6EC6"/>
    <w:rsid w:val="009C2D9A"/>
    <w:rsid w:val="009C362C"/>
    <w:rsid w:val="009C3940"/>
    <w:rsid w:val="009C3CC0"/>
    <w:rsid w:val="009D4027"/>
    <w:rsid w:val="009D6251"/>
    <w:rsid w:val="009D7916"/>
    <w:rsid w:val="009E0F9B"/>
    <w:rsid w:val="009E5132"/>
    <w:rsid w:val="009E64E1"/>
    <w:rsid w:val="009F00A0"/>
    <w:rsid w:val="009F04FE"/>
    <w:rsid w:val="009F0F35"/>
    <w:rsid w:val="009F134E"/>
    <w:rsid w:val="009F5264"/>
    <w:rsid w:val="009F5CFD"/>
    <w:rsid w:val="009F7474"/>
    <w:rsid w:val="00A02821"/>
    <w:rsid w:val="00A12D4E"/>
    <w:rsid w:val="00A13418"/>
    <w:rsid w:val="00A162D7"/>
    <w:rsid w:val="00A23423"/>
    <w:rsid w:val="00A23DE8"/>
    <w:rsid w:val="00A2525E"/>
    <w:rsid w:val="00A26A78"/>
    <w:rsid w:val="00A37B3C"/>
    <w:rsid w:val="00A41746"/>
    <w:rsid w:val="00A42419"/>
    <w:rsid w:val="00A43958"/>
    <w:rsid w:val="00A442BA"/>
    <w:rsid w:val="00A44332"/>
    <w:rsid w:val="00A4658F"/>
    <w:rsid w:val="00A53F20"/>
    <w:rsid w:val="00A54CDD"/>
    <w:rsid w:val="00A55C16"/>
    <w:rsid w:val="00A62CCC"/>
    <w:rsid w:val="00A62F0F"/>
    <w:rsid w:val="00A62FAF"/>
    <w:rsid w:val="00A6314D"/>
    <w:rsid w:val="00A633CB"/>
    <w:rsid w:val="00A6343D"/>
    <w:rsid w:val="00A63869"/>
    <w:rsid w:val="00A63D82"/>
    <w:rsid w:val="00A6450B"/>
    <w:rsid w:val="00A65448"/>
    <w:rsid w:val="00A67DF2"/>
    <w:rsid w:val="00A73F1E"/>
    <w:rsid w:val="00A76403"/>
    <w:rsid w:val="00A81023"/>
    <w:rsid w:val="00A827AA"/>
    <w:rsid w:val="00A8629C"/>
    <w:rsid w:val="00A866D0"/>
    <w:rsid w:val="00A94907"/>
    <w:rsid w:val="00A95C7A"/>
    <w:rsid w:val="00A97E07"/>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46F38"/>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C5FD9"/>
    <w:rsid w:val="00BD0777"/>
    <w:rsid w:val="00BD11C0"/>
    <w:rsid w:val="00BD30B5"/>
    <w:rsid w:val="00BD5FF6"/>
    <w:rsid w:val="00BD72AC"/>
    <w:rsid w:val="00BD739A"/>
    <w:rsid w:val="00BD7E21"/>
    <w:rsid w:val="00BE0CF9"/>
    <w:rsid w:val="00BF1B28"/>
    <w:rsid w:val="00BF1DF9"/>
    <w:rsid w:val="00BF4B17"/>
    <w:rsid w:val="00BF667D"/>
    <w:rsid w:val="00C043FC"/>
    <w:rsid w:val="00C068F6"/>
    <w:rsid w:val="00C14012"/>
    <w:rsid w:val="00C16673"/>
    <w:rsid w:val="00C24909"/>
    <w:rsid w:val="00C25153"/>
    <w:rsid w:val="00C25824"/>
    <w:rsid w:val="00C2691A"/>
    <w:rsid w:val="00C2744B"/>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2BF9"/>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B23"/>
    <w:rsid w:val="00D73E30"/>
    <w:rsid w:val="00D7611D"/>
    <w:rsid w:val="00D76196"/>
    <w:rsid w:val="00D818F4"/>
    <w:rsid w:val="00D908EF"/>
    <w:rsid w:val="00D93007"/>
    <w:rsid w:val="00D93358"/>
    <w:rsid w:val="00D94101"/>
    <w:rsid w:val="00D97E68"/>
    <w:rsid w:val="00DA123F"/>
    <w:rsid w:val="00DA12C4"/>
    <w:rsid w:val="00DA4A7E"/>
    <w:rsid w:val="00DA4B04"/>
    <w:rsid w:val="00DA4B0C"/>
    <w:rsid w:val="00DB0A4B"/>
    <w:rsid w:val="00DB1060"/>
    <w:rsid w:val="00DC08E8"/>
    <w:rsid w:val="00DC6336"/>
    <w:rsid w:val="00DC73C9"/>
    <w:rsid w:val="00DC740D"/>
    <w:rsid w:val="00DC7F56"/>
    <w:rsid w:val="00DD4B33"/>
    <w:rsid w:val="00DE1A77"/>
    <w:rsid w:val="00DE2FD9"/>
    <w:rsid w:val="00DE5594"/>
    <w:rsid w:val="00DE65F7"/>
    <w:rsid w:val="00DE7BA0"/>
    <w:rsid w:val="00DF2F90"/>
    <w:rsid w:val="00DF465F"/>
    <w:rsid w:val="00DF4BA8"/>
    <w:rsid w:val="00DF51CF"/>
    <w:rsid w:val="00E05F8E"/>
    <w:rsid w:val="00E10019"/>
    <w:rsid w:val="00E11CEF"/>
    <w:rsid w:val="00E14C9E"/>
    <w:rsid w:val="00E20F41"/>
    <w:rsid w:val="00E217E7"/>
    <w:rsid w:val="00E235EA"/>
    <w:rsid w:val="00E23860"/>
    <w:rsid w:val="00E23CC6"/>
    <w:rsid w:val="00E4086F"/>
    <w:rsid w:val="00E42F44"/>
    <w:rsid w:val="00E45B10"/>
    <w:rsid w:val="00E45FF1"/>
    <w:rsid w:val="00E46220"/>
    <w:rsid w:val="00E4701D"/>
    <w:rsid w:val="00E53737"/>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06BA"/>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63669"/>
    <w:rsid w:val="00F63E66"/>
    <w:rsid w:val="00F63F08"/>
    <w:rsid w:val="00F64887"/>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3E95"/>
    <w:rsid w:val="00FC4202"/>
    <w:rsid w:val="00FC648B"/>
    <w:rsid w:val="00FC6E84"/>
    <w:rsid w:val="00FD1DC3"/>
    <w:rsid w:val="00FD519E"/>
    <w:rsid w:val="00FD6374"/>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FDB1"/>
  <w15:chartTrackingRefBased/>
  <w15:docId w15:val="{C3817812-FF17-448F-8A25-501F8BC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paragraph" w:styleId="Balk4">
    <w:name w:val="heading 4"/>
    <w:basedOn w:val="Normal"/>
    <w:next w:val="Normal"/>
    <w:link w:val="Balk4Char"/>
    <w:uiPriority w:val="9"/>
    <w:unhideWhenUsed/>
    <w:qFormat/>
    <w:rsid w:val="00867D59"/>
    <w:pPr>
      <w:keepNext/>
      <w:keepLines/>
      <w:spacing w:before="40"/>
      <w:outlineLvl w:val="3"/>
    </w:pPr>
    <w:rPr>
      <w:rFonts w:asciiTheme="majorHAnsi" w:eastAsiaTheme="majorEastAsia" w:hAnsiTheme="majorHAnsi" w:cstheme="majorBidi"/>
      <w:i/>
      <w:iCs/>
      <w:color w:val="001D3F"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 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 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zmlenmeyenBahsetme1">
    <w:name w:val="Çözümlenmeyen Bahsetme1"/>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AralkYok">
    <w:name w:val="No Spacing"/>
    <w:link w:val="AralkYokChar"/>
    <w:uiPriority w:val="99"/>
    <w:qFormat/>
    <w:rsid w:val="004A0AAA"/>
    <w:pPr>
      <w:spacing w:after="0" w:line="240" w:lineRule="auto"/>
    </w:pPr>
    <w:rPr>
      <w:rFonts w:ascii="Times New Roman" w:eastAsia="Times New Roman" w:hAnsi="Times New Roman" w:cs="Times New Roman"/>
      <w:sz w:val="20"/>
      <w:lang w:eastAsia="tr-TR"/>
    </w:rPr>
  </w:style>
  <w:style w:type="character" w:customStyle="1" w:styleId="AralkYokChar">
    <w:name w:val="Aralık Yok Char"/>
    <w:link w:val="AralkYok"/>
    <w:uiPriority w:val="99"/>
    <w:rsid w:val="004A0AAA"/>
    <w:rPr>
      <w:rFonts w:ascii="Times New Roman" w:eastAsia="Times New Roman" w:hAnsi="Times New Roman" w:cs="Times New Roman"/>
      <w:sz w:val="20"/>
      <w:lang w:eastAsia="tr-TR"/>
    </w:rPr>
  </w:style>
  <w:style w:type="character" w:customStyle="1" w:styleId="Balk4Char">
    <w:name w:val="Başlık 4 Char"/>
    <w:basedOn w:val="VarsaylanParagrafYazTipi"/>
    <w:link w:val="Balk4"/>
    <w:uiPriority w:val="9"/>
    <w:rsid w:val="00867D59"/>
    <w:rPr>
      <w:rFonts w:asciiTheme="majorHAnsi" w:eastAsiaTheme="majorEastAsia" w:hAnsiTheme="majorHAnsi" w:cstheme="majorBidi"/>
      <w:i/>
      <w:iCs/>
      <w:color w:val="001D3F"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21462">
      <w:bodyDiv w:val="1"/>
      <w:marLeft w:val="0"/>
      <w:marRight w:val="0"/>
      <w:marTop w:val="0"/>
      <w:marBottom w:val="0"/>
      <w:divBdr>
        <w:top w:val="none" w:sz="0" w:space="0" w:color="auto"/>
        <w:left w:val="none" w:sz="0" w:space="0" w:color="auto"/>
        <w:bottom w:val="none" w:sz="0" w:space="0" w:color="auto"/>
        <w:right w:val="none" w:sz="0" w:space="0" w:color="auto"/>
      </w:divBdr>
    </w:div>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2.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4.xml><?xml version="1.0" encoding="utf-8"?>
<ds:datastoreItem xmlns:ds="http://schemas.openxmlformats.org/officeDocument/2006/customXml" ds:itemID="{880C5EBB-4677-4D46-90CF-80528931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dc:creator>
  <cp:keywords/>
  <dc:description/>
  <cp:lastModifiedBy>Admin</cp:lastModifiedBy>
  <cp:revision>5</cp:revision>
  <cp:lastPrinted>2022-10-21T20:55:00Z</cp:lastPrinted>
  <dcterms:created xsi:type="dcterms:W3CDTF">2024-08-23T11:34:00Z</dcterms:created>
  <dcterms:modified xsi:type="dcterms:W3CDTF">2025-05-17T12:23:00Z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